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2"/>
        <w:pBdr/>
        <w:spacing/>
        <w:ind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Plán práce výchovného poradce</w:t>
      </w:r>
      <w:r>
        <w:rPr>
          <w:rFonts w:ascii="Times New Roman" w:hAnsi="Times New Roman"/>
          <w:b/>
          <w:sz w:val="36"/>
          <w:szCs w:val="36"/>
        </w:rPr>
      </w:r>
      <w:r>
        <w:rPr>
          <w:rFonts w:ascii="Times New Roman" w:hAnsi="Times New Roman"/>
          <w:b/>
          <w:sz w:val="36"/>
          <w:szCs w:val="36"/>
        </w:rPr>
      </w:r>
    </w:p>
    <w:p>
      <w:pPr>
        <w:pStyle w:val="632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2025</w:t>
      </w:r>
      <w:r>
        <w:rPr>
          <w:rFonts w:ascii="Times New Roman" w:hAnsi="Times New Roman"/>
          <w:b/>
          <w:sz w:val="24"/>
          <w:szCs w:val="24"/>
        </w:rPr>
        <w:t xml:space="preserve">/</w:t>
      </w:r>
      <w:r>
        <w:rPr>
          <w:rFonts w:ascii="Times New Roman" w:hAnsi="Times New Roman"/>
          <w:b/>
          <w:sz w:val="24"/>
          <w:szCs w:val="24"/>
        </w:rPr>
        <w:t xml:space="preserve">2026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2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2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Konzultační hodiny: úterý</w:t>
      </w:r>
      <w:r>
        <w:rPr>
          <w:rFonts w:ascii="Times New Roman" w:hAnsi="Times New Roman"/>
          <w:sz w:val="24"/>
          <w:szCs w:val="24"/>
        </w:rPr>
        <w:t xml:space="preserve"> 14.00 – 15.00 nebo dle osobní dohody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Péče o žáky s výchovnými a výukovými obtížemi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a)správa databáze žáků s výchovnými problémy a databáze integrovaných žáků</w:t>
      </w:r>
      <w:r>
        <w:rPr>
          <w:rFonts w:ascii="Times New Roman" w:hAnsi="Times New Roman"/>
        </w:rPr>
        <w:t xml:space="preserve"> (průběžně)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b)konzultace problémů s učiteli (průběžně)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c)konzultace individuálních učebních plánů s rodiči ( při zavádění, změnách a hodnocení plánů)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d)zajišťování podkladů pro vyšetření v PPP a SPC, konzultace s psychology, psychiatry a speciálními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pedagogy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e)spolupráce</w:t>
      </w:r>
      <w:r>
        <w:rPr>
          <w:rFonts w:ascii="Times New Roman" w:hAnsi="Times New Roman"/>
        </w:rPr>
        <w:t xml:space="preserve"> odborem</w:t>
      </w:r>
      <w:r>
        <w:rPr>
          <w:rFonts w:ascii="Times New Roman" w:hAnsi="Times New Roman"/>
        </w:rPr>
        <w:t xml:space="preserve"> sociálních věcí a školství v Kyjově  </w:t>
      </w:r>
      <w:r>
        <w:rPr>
          <w:rFonts w:ascii="Times New Roman" w:hAnsi="Times New Roman"/>
        </w:rPr>
        <w:t xml:space="preserve">a policií</w:t>
      </w:r>
      <w:r>
        <w:rPr>
          <w:rFonts w:ascii="Times New Roman" w:hAnsi="Times New Roman"/>
        </w:rPr>
        <w:t xml:space="preserve"> ČR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f</w:t>
      </w:r>
      <w:r>
        <w:rPr>
          <w:rFonts w:ascii="Times New Roman" w:hAnsi="Times New Roman"/>
        </w:rPr>
        <w:t xml:space="preserve">)s metodikem prevence připravovat besedy pro žáky k prevenci sociálně patologických jevů 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g</w:t>
      </w:r>
      <w:r>
        <w:rPr>
          <w:rFonts w:ascii="Times New Roman" w:hAnsi="Times New Roman"/>
        </w:rPr>
        <w:t xml:space="preserve">) koordinace vzdělávání učitelů v problematice specifických vzdělávacích potřeb a sociálně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patologických jevů</w:t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Volba žáků 5. ročníku v pokračování </w:t>
      </w:r>
      <w:r>
        <w:rPr>
          <w:rFonts w:ascii="Times New Roman" w:hAnsi="Times New Roman"/>
          <w:b/>
          <w:sz w:val="24"/>
          <w:szCs w:val="24"/>
        </w:rPr>
        <w:t xml:space="preserve">studia na gymnáziu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</w:t>
      </w:r>
      <w:r>
        <w:rPr>
          <w:rFonts w:ascii="Times New Roman" w:hAnsi="Times New Roman"/>
          <w:sz w:val="24"/>
          <w:szCs w:val="24"/>
        </w:rPr>
        <w:t xml:space="preserve">poskytování individuálních konzultací pro žáky i rodiče (průběžně)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b)informovat o studijních možnostech (průběžně)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c)pomoc při přihlašovací agendě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d)návštěva gymnázií ve Dnech otevřených dveří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Termíny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a)přijímací řízení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-odevzdání přihláš</w:t>
      </w:r>
      <w:r>
        <w:rPr>
          <w:rFonts w:ascii="Times New Roman" w:hAnsi="Times New Roman"/>
          <w:sz w:val="24"/>
          <w:szCs w:val="24"/>
        </w:rPr>
        <w:t xml:space="preserve">ek na gymnázia…….................................dle vyhlášení MŠMT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-termíny přijímacích zkoušek………………………………dle vyhlášení danou školou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-pomoc žákům a zákonným zástupcům při odvolání v případě nepřijetí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-informace pro žáky a zákonné zástupce o volných místech na jiných gymnáziích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b)termíny třídních schůzek a informačních dnů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c)zápis do MŠ a do 1. třídy ZŠ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7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2"/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32"/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32"/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32"/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32"/>
        <w:pBdr/>
        <w:spacing/>
        <w:ind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Časový plán práce výchovného poradce</w:t>
      </w:r>
      <w:r>
        <w:rPr>
          <w:b/>
          <w:sz w:val="40"/>
          <w:szCs w:val="40"/>
        </w:rPr>
      </w:r>
      <w:r>
        <w:rPr>
          <w:b/>
          <w:sz w:val="40"/>
          <w:szCs w:val="40"/>
        </w:rPr>
      </w:r>
    </w:p>
    <w:p>
      <w:pPr>
        <w:pStyle w:val="632"/>
        <w:pBdr/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2025/2026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Srpen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-    Aktualizovat seznam dětí se SVP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   Schůzka s metodičkou prevence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   Konzultace s vyučujícími a třídními učiteli ohledně inkluze a vypracování IVP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Září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   Kontrola dokumentace doporučení PPP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/>
      </w:pPr>
      <w:r>
        <w:rPr>
          <w:rFonts w:ascii="Times New Roman" w:hAnsi="Times New Roman"/>
          <w:sz w:val="24"/>
          <w:szCs w:val="24"/>
        </w:rPr>
        <w:t xml:space="preserve">        -    Účast na třídních schůzkách</w:t>
      </w:r>
      <w:r/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   Schůzka ŠPP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   Příprava matriky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Říjen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Konzultace s rodiči žáků se SVP a žáků nadaných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Spolupráce s metodikem prevence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Pomoc učitelům při vyhledávání a sledování problémových žáků, poskytování návrhů na péči o tyto žáky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Odeslání matriky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Listopad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Čtvrtletní hodnocení</w:t>
      </w:r>
      <w:r>
        <w:rPr>
          <w:rFonts w:ascii="Times New Roman" w:hAnsi="Times New Roman"/>
          <w:sz w:val="24"/>
          <w:szCs w:val="24"/>
        </w:rPr>
        <w:t xml:space="preserve"> IVP + PLPP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Účastnit se čtvrtletních třídních schůzek za účelem setkání se se zákonnými zástupci žáků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Prosinec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Zorganizovat setkání se žáky a jejich zákonnými zástupci, kteří se chtějí přihlásit na gymnázium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Leden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Pololetní hodnocení IVP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Projednat způsob hodnocení a klasifikace u žáků se SVP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Únor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Odevzdat přihlášky ke studiu na gymnáziích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Zajistit kontrolní pedagogicko-psychologické vyšetření žáků se SVP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Březen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Zpracovat návrh na zakoupení pomůcek, alternativních textů a učebnic pro žáky se SVP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Sběr matriky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Duben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do 1. třídy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Čtvrtletní hodnocení IVP + PLPP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Schůzka ŠPP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Květen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Zhodnotit úspěšnost přijetí žáků na gymnázia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Závěrečné hodnocení IVP, posouzení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</w:t>
      </w:r>
      <w:r>
        <w:rPr>
          <w:rFonts w:ascii="Times New Roman" w:hAnsi="Times New Roman"/>
          <w:sz w:val="24"/>
          <w:szCs w:val="24"/>
        </w:rPr>
        <w:t xml:space="preserve"> dětí do MŠ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Červen</w:t>
      </w:r>
      <w:r>
        <w:rPr>
          <w:rFonts w:ascii="Times New Roman" w:hAnsi="Times New Roman"/>
          <w:b/>
          <w:sz w:val="40"/>
          <w:szCs w:val="40"/>
        </w:rPr>
      </w:r>
      <w:r>
        <w:rPr>
          <w:rFonts w:ascii="Times New Roman" w:hAnsi="Times New Roman"/>
          <w:b/>
          <w:sz w:val="40"/>
          <w:szCs w:val="40"/>
        </w:rPr>
      </w:r>
    </w:p>
    <w:p>
      <w:pPr>
        <w:pStyle w:val="636"/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Zkontrolovat závěrečná</w:t>
      </w:r>
      <w:r>
        <w:rPr>
          <w:rFonts w:ascii="Times New Roman" w:hAnsi="Times New Roman"/>
          <w:sz w:val="24"/>
          <w:szCs w:val="24"/>
        </w:rPr>
        <w:t xml:space="preserve"> hodnocení </w:t>
      </w:r>
      <w:r>
        <w:rPr>
          <w:rFonts w:ascii="Times New Roman" w:hAnsi="Times New Roman"/>
          <w:sz w:val="24"/>
          <w:szCs w:val="24"/>
        </w:rPr>
        <w:t xml:space="preserve">IVP</w:t>
      </w:r>
      <w:r>
        <w:rPr>
          <w:rFonts w:ascii="Times New Roman" w:hAnsi="Times New Roman"/>
          <w:sz w:val="24"/>
          <w:szCs w:val="24"/>
        </w:rPr>
        <w:t xml:space="preserve"> dětí a žáků se </w:t>
      </w:r>
      <w:r>
        <w:rPr>
          <w:rFonts w:ascii="Times New Roman" w:hAnsi="Times New Roman"/>
          <w:sz w:val="24"/>
          <w:szCs w:val="24"/>
        </w:rPr>
        <w:t xml:space="preserve">SVP</w:t>
      </w:r>
      <w:r>
        <w:rPr>
          <w:rFonts w:ascii="Times New Roman" w:hAnsi="Times New Roman"/>
          <w:sz w:val="24"/>
          <w:szCs w:val="24"/>
        </w:rPr>
        <w:t xml:space="preserve"> a dětí a žáků mimořádně nadaných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do přípravné třídy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Zkontrolovat závěrečná hodnocení dětí přípravné třídy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Zkontrolovat a poslat kopie katalogových listů odcházejících žáků na II. stupeň jimi vybrané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základní školy nebo gymnázia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Vyhodnotit</w:t>
      </w:r>
      <w:r>
        <w:rPr>
          <w:rFonts w:ascii="Times New Roman" w:hAnsi="Times New Roman"/>
          <w:sz w:val="24"/>
          <w:szCs w:val="24"/>
        </w:rPr>
        <w:t xml:space="preserve"> odklady školní docházky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Zhodnotit školní rok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zhodnotit spolupráci učitelů s výchovnou poradkyní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numPr>
          <w:ilvl w:val="0"/>
          <w:numId w:val="2"/>
        </w:numPr>
        <w:pBdr/>
        <w:spacing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Bukovany</w:t>
      </w:r>
      <w:r>
        <w:rPr>
          <w:rFonts w:ascii="Times New Roman" w:hAnsi="Times New Roman"/>
          <w:sz w:val="24"/>
          <w:szCs w:val="24"/>
        </w:rPr>
        <w:t xml:space="preserve"> dne 1. 9. 2025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6"/>
        <w:pBdr/>
        <w:spacing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…………………………………...</w:t>
      </w:r>
      <w:r>
        <w:rPr>
          <w:rFonts w:ascii="Times New Roman" w:hAnsi="Times New Roman"/>
          <w:sz w:val="24"/>
          <w:szCs w:val="24"/>
        </w:rPr>
      </w:r>
    </w:p>
    <w:p>
      <w:pPr>
        <w:pStyle w:val="636"/>
        <w:pBdr/>
        <w:spacing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Mgr. Jana Svobodová</w:t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Calibri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cs-CZ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2"/>
    <w:next w:val="63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2"/>
    <w:next w:val="63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2"/>
    <w:next w:val="63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2"/>
    <w:next w:val="63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2"/>
    <w:next w:val="63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2"/>
    <w:next w:val="63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2"/>
    <w:next w:val="63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2"/>
    <w:next w:val="63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2"/>
    <w:next w:val="63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2"/>
    <w:next w:val="63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2"/>
    <w:next w:val="63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2"/>
    <w:next w:val="63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3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2"/>
    <w:next w:val="63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2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32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32"/>
    <w:next w:val="63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2"/>
    <w:next w:val="632"/>
    <w:uiPriority w:val="99"/>
    <w:unhideWhenUsed/>
    <w:pPr>
      <w:pBdr/>
      <w:spacing w:after="0" w:afterAutospacing="0"/>
      <w:ind/>
    </w:pPr>
  </w:style>
  <w:style w:type="paragraph" w:styleId="632" w:default="1">
    <w:name w:val="Normal"/>
    <w:next w:val="632"/>
    <w:link w:val="632"/>
    <w:qFormat/>
    <w:pPr>
      <w:pBdr/>
      <w:spacing w:after="200" w:line="276" w:lineRule="auto"/>
      <w:ind/>
    </w:pPr>
    <w:rPr>
      <w:sz w:val="22"/>
      <w:szCs w:val="22"/>
      <w:lang w:val="cs-CZ" w:eastAsia="en-US" w:bidi="ar-SA"/>
    </w:rPr>
  </w:style>
  <w:style w:type="character" w:styleId="633">
    <w:name w:val="Standardní písmo odstavce"/>
    <w:next w:val="633"/>
    <w:link w:val="632"/>
    <w:uiPriority w:val="1"/>
    <w:semiHidden/>
    <w:unhideWhenUsed/>
    <w:pPr>
      <w:pBdr/>
      <w:spacing/>
      <w:ind/>
    </w:pPr>
  </w:style>
  <w:style w:type="table" w:styleId="634">
    <w:name w:val="Normální tabulka"/>
    <w:next w:val="634"/>
    <w:link w:val="632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5">
    <w:name w:val="Bez seznamu"/>
    <w:next w:val="635"/>
    <w:link w:val="632"/>
    <w:uiPriority w:val="99"/>
    <w:semiHidden/>
    <w:unhideWhenUsed/>
    <w:pPr>
      <w:pBdr/>
      <w:spacing/>
      <w:ind/>
    </w:pPr>
  </w:style>
  <w:style w:type="paragraph" w:styleId="636">
    <w:name w:val="Bez mezer"/>
    <w:next w:val="636"/>
    <w:link w:val="632"/>
    <w:uiPriority w:val="1"/>
    <w:qFormat/>
    <w:pPr>
      <w:pBdr/>
      <w:spacing/>
      <w:ind/>
    </w:pPr>
    <w:rPr>
      <w:sz w:val="22"/>
      <w:szCs w:val="22"/>
      <w:lang w:val="cs-CZ" w:eastAsia="en-US" w:bidi="ar-SA"/>
    </w:rPr>
  </w:style>
  <w:style w:type="paragraph" w:styleId="637">
    <w:name w:val="Odstavec se seznamem"/>
    <w:basedOn w:val="632"/>
    <w:next w:val="637"/>
    <w:link w:val="63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>ZŠ Sobůlky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revision>3</cp:revision>
  <dcterms:created xsi:type="dcterms:W3CDTF">2025-09-18T05:17:00Z</dcterms:created>
  <dcterms:modified xsi:type="dcterms:W3CDTF">2025-09-23T15:08:29Z</dcterms:modified>
  <cp:version>786432</cp:version>
</cp:coreProperties>
</file>